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8"/>
          <w:szCs w:val="48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8"/>
          <w:szCs w:val="48"/>
          <w:highlight w:val="none"/>
          <w:lang w:val="en-US" w:eastAsia="zh-CN"/>
        </w:rPr>
        <w:t>团体标准制（修）订项目立项申报书</w:t>
      </w:r>
    </w:p>
    <w:bookmarkEnd w:id="0"/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1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361" w:firstLineChars="1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项 目 名 称：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361" w:firstLineChars="1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主要牵头单位：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  <w:t xml:space="preserve">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361" w:firstLineChars="1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申 报 时 间：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  <w:lang w:val="en-US" w:eastAsia="zh-CN"/>
        </w:rPr>
        <w:t xml:space="preserve">         年        月      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440" w:firstLineChars="1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440" w:firstLineChars="1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u w:val="none"/>
          <w:lang w:val="en-US" w:eastAsia="zh-CN"/>
        </w:rPr>
        <w:t>四川省环境科学学会制</w:t>
      </w:r>
    </w:p>
    <w:p>
      <w:pP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本申报书为立项评审的主要依据，申报单位必须填写完整，缺项的申报材料不予受理。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申报内容表述明确、严谨，申报单位对申报材料的真实性负责，一旦发现弄虚作假行为，将一票否决。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项目申请单位应尽可能广泛地收集项目涉及的必要专利信息，并及时披露自身及关联者拥有的必要专利，在提交的立项申报书中应包括必要专利信息披露表和证明材料。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项目申报书填好后，由申请单位及起草单位加盖单位公章，报送至</w:t>
      </w: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四川</w:t>
      </w: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省环境科学学会</w:t>
      </w: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标准工作管理组</w:t>
      </w:r>
      <w:r>
        <w:rPr>
          <w:rFonts w:hint="eastAsia" w:ascii="Times New Roman" w:hAnsi="Times New Roman" w:eastAsia="仿宋_GB2312" w:cs="方正小标宋简体"/>
          <w:sz w:val="32"/>
          <w:szCs w:val="32"/>
          <w:lang w:val="en-US" w:eastAsia="zh-CN"/>
        </w:rPr>
        <w:t>（学会秘书处）</w:t>
      </w: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本申报书用A4纸填报，可按内容自行调整表格大小。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本申报书由</w:t>
      </w: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四川</w:t>
      </w: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省环境科学学会负责解释。</w:t>
      </w: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四川省环境科学学会团体标准立项申请表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技术鉴定意见或第三方评估报告（新技术、新产品）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产品认定报告或第三方检测报告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调研报告（管理类）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其他佐证材料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方正小标宋简体"/>
          <w:sz w:val="32"/>
          <w:szCs w:val="44"/>
          <w:highlight w:val="none"/>
          <w:lang w:val="en-US" w:eastAsia="zh-CN"/>
        </w:rPr>
        <w:t>标准草案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四川省环境科学学会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团体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标准立项申请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表</w:t>
      </w:r>
    </w:p>
    <w:tbl>
      <w:tblPr>
        <w:tblStyle w:val="2"/>
        <w:tblW w:w="5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039"/>
        <w:gridCol w:w="236"/>
        <w:gridCol w:w="136"/>
        <w:gridCol w:w="722"/>
        <w:gridCol w:w="731"/>
        <w:gridCol w:w="1376"/>
        <w:gridCol w:w="1490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项目名称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（中文）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项目名称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（英文）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 w:bidi="ar-SA"/>
              </w:rPr>
              <w:t>主要牵头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单位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bidi="ar-SA"/>
              </w:rPr>
              <w:t>编写单位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起草人员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（需如实填写姓名、单位、职务职称、简历，标准编制负责人必须为高级工程师以上职称，且具有一定的文字功底）</w:t>
            </w: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  <w:t>序  号</w:t>
            </w: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  <w:t>姓  名</w:t>
            </w: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  <w:t>单  位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  <w:t>职务/职称</w:t>
            </w: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 w:bidi="ar-SA"/>
              </w:rPr>
              <w:t>学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31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55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联系人</w:t>
            </w:r>
          </w:p>
        </w:tc>
        <w:tc>
          <w:tcPr>
            <w:tcW w:w="1091" w:type="pct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联系电话</w:t>
            </w:r>
          </w:p>
        </w:tc>
        <w:tc>
          <w:tcPr>
            <w:tcW w:w="1375" w:type="pct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标准类别</w:t>
            </w: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试验标准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规范标准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规程标准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指南标准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2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标准范围分类</w:t>
            </w: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生态环境保护产品、工艺和技术类；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 xml:space="preserve">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环境工程设计、施工及运营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环境绩效评估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环境技术研发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环境贸易与金融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环境科普、教育与培训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>环境信息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bidi="ar-SA"/>
              </w:rPr>
              <w:t xml:space="preserve">其他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编制类型</w:t>
            </w:r>
          </w:p>
        </w:tc>
        <w:tc>
          <w:tcPr>
            <w:tcW w:w="3545" w:type="pct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□制订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722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□修订</w:t>
            </w: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原标准名称及标准号</w:t>
            </w:r>
          </w:p>
        </w:tc>
        <w:tc>
          <w:tcPr>
            <w:tcW w:w="2079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国际标准分类号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（ICS号）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中国标准文献分类号（CCS）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是否采标</w:t>
            </w:r>
          </w:p>
        </w:tc>
        <w:tc>
          <w:tcPr>
            <w:tcW w:w="72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□否</w:t>
            </w:r>
          </w:p>
        </w:tc>
        <w:tc>
          <w:tcPr>
            <w:tcW w:w="74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采标名称及标准号</w:t>
            </w:r>
          </w:p>
        </w:tc>
        <w:tc>
          <w:tcPr>
            <w:tcW w:w="2079" w:type="pct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是否有科研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项目支撑</w:t>
            </w:r>
          </w:p>
        </w:tc>
        <w:tc>
          <w:tcPr>
            <w:tcW w:w="72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□否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科研项目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编号及名称</w:t>
            </w:r>
          </w:p>
        </w:tc>
        <w:tc>
          <w:tcPr>
            <w:tcW w:w="207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是否涉及专利</w:t>
            </w:r>
          </w:p>
        </w:tc>
        <w:tc>
          <w:tcPr>
            <w:tcW w:w="72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□否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涉及专利号及名称</w:t>
            </w:r>
          </w:p>
        </w:tc>
        <w:tc>
          <w:tcPr>
            <w:tcW w:w="2079" w:type="pct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第三方鉴定/评估</w:t>
            </w:r>
          </w:p>
        </w:tc>
        <w:tc>
          <w:tcPr>
            <w:tcW w:w="72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□否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鉴定/评估结论</w:t>
            </w:r>
          </w:p>
        </w:tc>
        <w:tc>
          <w:tcPr>
            <w:tcW w:w="2079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国际领先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国际先进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国内领先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国内先进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0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立项目的、意义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必要性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及可行性分析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（包括预期社会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和生态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效益分析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3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项目适用范围和主要技术内容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(修订的项目应注明拟修订的主要内容)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国内外相关标准制定情况的简要说明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45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与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相关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国家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标准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、行业标准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和地方标准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的关系</w:t>
            </w: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无相关国家标准、行业标准或地方标准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</w:pP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□ 技术指标严于或高于现有标准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标准名称：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具体说明：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□ 填补现有标准指标空白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标准名称：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具体说明：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5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项目保障措施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（包括技术力量、经费等等）</w:t>
            </w: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主要技术力量：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45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420" w:firstLineChars="200"/>
              <w:jc w:val="both"/>
              <w:textAlignment w:val="auto"/>
            </w:pPr>
          </w:p>
        </w:tc>
        <w:tc>
          <w:tcPr>
            <w:tcW w:w="3545" w:type="pct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编制经费预算总计：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其中：编制单位自筹：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它：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现有工作基础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需要解决的重点问题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（项目前期取得的成果，包括课题研究成果、技术鉴定报告、专利等等）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7" w:hRule="atLeast"/>
          <w:jc w:val="center"/>
        </w:trPr>
        <w:tc>
          <w:tcPr>
            <w:tcW w:w="145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bidi="ar-SA"/>
              </w:rPr>
              <w:t>进度计划</w:t>
            </w:r>
          </w:p>
        </w:tc>
        <w:tc>
          <w:tcPr>
            <w:tcW w:w="3545" w:type="pct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00" w:lineRule="exact"/>
              <w:ind w:right="-1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主要牵头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单位承诺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及意见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7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遵守《四川省环境科学学会团体标准管理办法》，提交的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申报材料内容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真实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、准确，无知识产权纠纷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，符合法律法规和强制性标准要求，符合国家有关产业政策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7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经单位领导审核，同意推荐该项目申报四川省环境科学学会团体标准。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 w:firstLine="6160" w:firstLineChars="2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单位（盖章）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/>
              <w:jc w:val="left"/>
              <w:textAlignment w:val="auto"/>
              <w:rPr>
                <w:rFonts w:hint="default" w:ascii="Times New Roman" w:hAnsi="Times New Roman" w:eastAsia="仿宋_GB2312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日期：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编写单位承诺：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遵守《四川省环境科学学会团体标准管理办法》，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积极参与标准编制全过程，并协助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主要牵头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单位和四川省环境科学学会开展标准研制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和起草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 w:firstLine="2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参编单位（盖章）               参编单位（盖章）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right="-15" w:firstLine="2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日期：                           日期：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firstLine="240" w:firstLineChars="100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（所有起草单位均需加盖公章）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  <w:jc w:val="center"/>
        </w:trPr>
        <w:tc>
          <w:tcPr>
            <w:tcW w:w="2109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四川省环境科学学会意见</w:t>
            </w:r>
          </w:p>
        </w:tc>
        <w:tc>
          <w:tcPr>
            <w:tcW w:w="2890" w:type="pct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440" w:lineRule="exact"/>
              <w:ind w:left="3072" w:leftChars="1463" w:right="-15" w:firstLine="3080" w:firstLineChars="1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单单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bidi="ar-SA"/>
              </w:rPr>
              <w:t>位（盖章）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  <w:p>
            <w:pPr>
              <w:wordWrap w:val="0"/>
              <w:spacing w:line="360" w:lineRule="auto"/>
              <w:ind w:firstLine="840" w:firstLineChars="300"/>
              <w:jc w:val="right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BF9A8"/>
    <w:multiLevelType w:val="singleLevel"/>
    <w:tmpl w:val="83BBF9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C16BC9F"/>
    <w:multiLevelType w:val="multilevel"/>
    <w:tmpl w:val="8C16BC9F"/>
    <w:lvl w:ilvl="0" w:tentative="0">
      <w:start w:val="1"/>
      <w:numFmt w:val="decimal"/>
      <w:suff w:val="space"/>
      <w:lvlText w:val="%1."/>
      <w:lvlJc w:val="left"/>
      <w:rPr>
        <w:rFonts w:hint="default" w:eastAsia="仿宋_GB2312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DcxZmY1MGI5ZmI5NGUyMGZhMGMxNzM2OGYyZDkifQ=="/>
  </w:docVars>
  <w:rsids>
    <w:rsidRoot w:val="1FB97546"/>
    <w:rsid w:val="1FB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2023-03-24T01:29:00Z</dcterms:created>
  <dc:creator>映香花夏</dc:creator>
  <cp:lastModifiedBy>映香花夏</cp:lastModifiedBy>
  <dcterms:modified xsi:type="dcterms:W3CDTF">2023-03-24T01:30:50Z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75EF1A923FAB4197B35095EA8C3B8B72</vt:lpwstr>
  </property>
</Properties>
</file>